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Chelmsford</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Chelmsford</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Chelmsford</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Chelmsford</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Chelmsford</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7.3%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Chelmsford are estimated to have a score of 1-2 on the PGSI (low-risk gambling), whilst </w:t>
      </w:r>
      <w:r w:rsidRPr="00773DF7">
        <w:rPr>
          <w:rFonts w:ascii="Libre Franklin Light" w:hAnsi="Libre Franklin Light" w:cs="Calibri Light"/>
          <w:b/>
          <w:bCs/>
          <w:color w:val="C45911" w:themeColor="accent2" w:themeShade="BF"/>
        </w:rPr>
        <w:t xml:space="preserve">3.0%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1.8%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42.1% </w:t>
      </w:r>
      <w:r w:rsidRPr="004747BF">
        <w:rPr>
          <w:rFonts w:ascii="Libre Franklin Light" w:eastAsia="Times New Roman" w:hAnsi="Libre Franklin Light" w:cs="Calibri Light"/>
        </w:rPr>
        <w:t xml:space="preserve">of those respondents classified as PGSI 8+ in Chelmsford</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Chelmsford is estimated to be </w:t>
      </w:r>
      <w:r w:rsidRPr="00773DF7">
        <w:rPr>
          <w:rFonts w:ascii="Libre Franklin Light" w:eastAsia="Times New Roman" w:hAnsi="Libre Franklin Light" w:cs="Calibri Light"/>
          <w:b/>
          <w:bCs/>
          <w:color w:val="C45911" w:themeColor="accent2" w:themeShade="BF"/>
        </w:rPr>
        <w:t xml:space="preserve">£2,394,802</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Chelmsford</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12.1%</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Chelmsford</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7.3%</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similar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Chelmsford</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3.0%</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Chelmsford</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1.8%</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Chelmsford.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Chelmsford</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Chelmsford.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Chelmsford</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5.3%</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26.7%</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Chelmsford</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42.1%</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Chelmsford.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Chelmsford</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4.0%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26.7%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Chelmsford</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Chelmsford</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52.6%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Chelmsford</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Chelmsford</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Chelmsford</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£2,394,802</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Chelmsford</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£39,007</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£806,695</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£57,789</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£16,253</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£29,797</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£1,445,261</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£2,394,802</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Chelmsford</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Chelmsford</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19.8%</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Chelmsford</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15.8%</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Chelmsford</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11.5%</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Chelmsford</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1.9%</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Chelmsford</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51.0%</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Chelmsford</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19.8%</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Chelmsford</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15.8%</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Chelmsford</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11.5%</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Chelmsford</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1.9%</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Chelmsford</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51.0%</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Chelmsford</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EED32511-8503-4C2D-A2AE-828B7A83651D}"/>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